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52" w:rsidRPr="00AC1152" w:rsidRDefault="00AC1152" w:rsidP="00AC115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ru-RU"/>
        </w:rPr>
      </w:pPr>
    </w:p>
    <w:p w:rsidR="00AC1152" w:rsidRPr="00AC1152" w:rsidRDefault="00AC1152" w:rsidP="00AC115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ru-RU"/>
        </w:rPr>
      </w:pPr>
      <w:r w:rsidRPr="00AC1152"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ru-RU"/>
        </w:rPr>
        <w:t>Компетенция</w:t>
      </w:r>
      <w:r w:rsidRPr="00AC1152">
        <w:t xml:space="preserve"> </w:t>
      </w:r>
      <w:r w:rsidRPr="00AC1152"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ru-RU"/>
        </w:rPr>
        <w:t>Ревизионной комиссии ПАО «</w:t>
      </w:r>
      <w:r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ru-RU"/>
        </w:rPr>
        <w:t>Россети</w:t>
      </w:r>
      <w:r w:rsidRPr="00AC1152">
        <w:rPr>
          <w:rFonts w:ascii="Times New Roman" w:eastAsia="Times New Roman" w:hAnsi="Times New Roman" w:cs="Times New Roman"/>
          <w:b/>
          <w:snapToGrid w:val="0"/>
          <w:spacing w:val="-2"/>
          <w:sz w:val="24"/>
          <w:szCs w:val="24"/>
          <w:lang w:eastAsia="ru-RU"/>
        </w:rPr>
        <w:t xml:space="preserve"> Северо-Запад»</w:t>
      </w:r>
    </w:p>
    <w:p w:rsidR="00AC1152" w:rsidRPr="00AC1152" w:rsidRDefault="00AC1152" w:rsidP="00AC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16"/>
          <w:szCs w:val="16"/>
          <w:lang w:eastAsia="ru-RU"/>
        </w:rPr>
      </w:pPr>
    </w:p>
    <w:p w:rsidR="00AC1152" w:rsidRPr="00AC1152" w:rsidRDefault="00AC1152" w:rsidP="00AC1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C115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в соответствии с </w:t>
      </w:r>
      <w:proofErr w:type="spellStart"/>
      <w:r w:rsidRPr="00AC115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п.п</w:t>
      </w:r>
      <w:proofErr w:type="spellEnd"/>
      <w:r w:rsidRPr="00AC115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. </w:t>
      </w:r>
      <w:r w:rsidR="009F77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24.4</w:t>
      </w:r>
      <w:r w:rsidRPr="00AC115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Статьи 2</w:t>
      </w:r>
      <w:r w:rsidR="009F77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</w:t>
      </w:r>
      <w:r w:rsidRPr="00AC115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 Устава</w:t>
      </w:r>
      <w:r w:rsidR="009F771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Общества</w:t>
      </w:r>
      <w:r w:rsidRPr="00AC1152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, </w:t>
      </w:r>
    </w:p>
    <w:p w:rsidR="00AC1152" w:rsidRPr="00AC1152" w:rsidRDefault="00AC1152" w:rsidP="00AC115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годовым Общим собранием акционеров </w:t>
      </w:r>
      <w:r w:rsidRPr="00AC115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Общества</w:t>
      </w:r>
      <w:r w:rsidRPr="00AC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5B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C11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75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C115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1575B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575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115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</w:t>
      </w:r>
      <w:r w:rsidR="001575B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C11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1152" w:rsidRDefault="00AC1152" w:rsidP="00896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B8C" w:rsidRPr="004E6B8C" w:rsidRDefault="0065673A" w:rsidP="004E6B8C">
      <w:pPr>
        <w:widowControl w:val="0"/>
        <w:tabs>
          <w:tab w:val="left" w:pos="1134"/>
        </w:tabs>
        <w:spacing w:after="0" w:line="238" w:lineRule="auto"/>
        <w:ind w:left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65673A">
        <w:rPr>
          <w:rFonts w:ascii="Times New Roman" w:eastAsia="Times New Roman" w:hAnsi="Times New Roman" w:cs="Times New Roman"/>
          <w:lang w:eastAsia="ru-RU"/>
        </w:rPr>
        <w:t xml:space="preserve">24.4 </w:t>
      </w:r>
      <w:r w:rsidR="004E6B8C" w:rsidRPr="0065673A">
        <w:rPr>
          <w:rFonts w:ascii="Tahoma" w:eastAsia="Times New Roman" w:hAnsi="Tahoma" w:cs="Times New Roman"/>
          <w:snapToGrid w:val="0"/>
          <w:spacing w:val="-2"/>
          <w:lang w:eastAsia="ru-RU"/>
        </w:rPr>
        <w:t>К</w:t>
      </w:r>
      <w:r w:rsidR="004E6B8C"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t xml:space="preserve"> компетенции Ревизионной комиссии Общества относится: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t>проверка (ревизия) финансовой, бухгалтерской, платежно-расчетной и иной документации Общества, связанной с осуществлением Обществом финансово-хозяйственной деятельности, на предмет ее соответствия законодательству Российской Федерации, настоящему Уставу и внутренним документам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t>проверка и анализ финансового состояния Общества, его платежеспособности, функционирования системы внутреннего контроля и системы управления рисками, ликвидности активов, соотношения собственных и заемных средств, правильности</w:t>
      </w: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br/>
        <w:t>и своевременности начисления и выплаты процентов по облигациям, доходов по иным ценным бумагам;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t>контроль за расходованием денежных средств Общества в соответствии</w:t>
      </w: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br/>
        <w:t>с утвержденными бизнес-планом и бюджетом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t>контроль за формированием и использованием резервного и иных специальных фондов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проверка своевременности и правильности ведения расчетных операций</w:t>
      </w:r>
      <w:r w:rsidRPr="004E6B8C">
        <w:rPr>
          <w:rFonts w:ascii="Tahoma" w:eastAsia="Tahoma" w:hAnsi="Tahoma" w:cs="Tahoma"/>
        </w:rPr>
        <w:br/>
        <w:t>с контрагентами и бюджетом, а также расчетных операций по оплате труда, социальному страхованию, начислению и выплате дивидендов и других расчетных операций;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контроль за соблюдением установленного порядка списания на убытки Общества задолженности неплатежеспособных дебиторов;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проверка хозяйственных операций Общества, осуществляемых в соответствии</w:t>
      </w:r>
      <w:r w:rsidRPr="004E6B8C">
        <w:rPr>
          <w:rFonts w:ascii="Tahoma" w:eastAsia="Tahoma" w:hAnsi="Tahoma" w:cs="Tahoma"/>
        </w:rPr>
        <w:br/>
        <w:t>с заключенными договорами;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проверка соблюдения при использовании материальных, трудовых и финансовых ресурсов в финансово-хозяйственной деятельности действующих договоров, норм</w:t>
      </w:r>
      <w:r w:rsidRPr="004E6B8C">
        <w:rPr>
          <w:rFonts w:ascii="Tahoma" w:eastAsia="Tahoma" w:hAnsi="Tahoma" w:cs="Tahoma"/>
        </w:rPr>
        <w:br/>
        <w:t>и нормативов, утвержденных смет и других документов, регламентирующих деятельность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контроль за сохранностью и использованием основных средств;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проверка кассы и имущества Общества, эффективности использования активов</w:t>
      </w:r>
      <w:r w:rsidRPr="004E6B8C">
        <w:rPr>
          <w:rFonts w:ascii="Tahoma" w:eastAsia="Tahoma" w:hAnsi="Tahoma" w:cs="Tahoma"/>
          <w:sz w:val="20"/>
          <w:szCs w:val="20"/>
        </w:rPr>
        <w:t xml:space="preserve"> </w:t>
      </w:r>
      <w:r w:rsidRPr="004E6B8C">
        <w:rPr>
          <w:rFonts w:ascii="Tahoma" w:eastAsia="Tahoma" w:hAnsi="Tahoma" w:cs="Tahoma"/>
        </w:rPr>
        <w:t>и</w:t>
      </w:r>
      <w:r w:rsidRPr="004E6B8C">
        <w:rPr>
          <w:rFonts w:ascii="Tahoma" w:eastAsia="Tahoma" w:hAnsi="Tahoma" w:cs="Tahoma"/>
          <w:sz w:val="20"/>
          <w:szCs w:val="20"/>
        </w:rPr>
        <w:t xml:space="preserve"> </w:t>
      </w:r>
      <w:r w:rsidRPr="004E6B8C">
        <w:rPr>
          <w:rFonts w:ascii="Tahoma" w:eastAsia="Tahoma" w:hAnsi="Tahoma" w:cs="Tahoma"/>
        </w:rPr>
        <w:t>иных ресурсов Общества, выявление причин непроизводственных потерь и расходов, выявление резервов улучшения финансового состояния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проверка выполнения предписаний по устранению нарушений и недостатков, ранее выявленных Ревизионной комиссией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ahoma" w:hAnsi="Tahoma" w:cs="Tahoma"/>
        </w:rPr>
        <w:t>выработка рекомендаций для органов управления Общества;</w:t>
      </w:r>
    </w:p>
    <w:p w:rsidR="004E6B8C" w:rsidRPr="004E6B8C" w:rsidRDefault="004E6B8C" w:rsidP="004E6B8C">
      <w:pPr>
        <w:widowControl w:val="0"/>
        <w:numPr>
          <w:ilvl w:val="0"/>
          <w:numId w:val="1"/>
        </w:numPr>
        <w:tabs>
          <w:tab w:val="left" w:pos="851"/>
        </w:tabs>
        <w:spacing w:after="0" w:line="238" w:lineRule="auto"/>
        <w:ind w:firstLine="567"/>
        <w:jc w:val="both"/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</w:pPr>
      <w:r w:rsidRPr="004E6B8C">
        <w:rPr>
          <w:rFonts w:ascii="Tahoma" w:eastAsia="Times New Roman" w:hAnsi="Tahoma" w:cs="Times New Roman"/>
          <w:snapToGrid w:val="0"/>
          <w:spacing w:val="-2"/>
          <w:szCs w:val="24"/>
          <w:lang w:eastAsia="ru-RU"/>
        </w:rPr>
        <w:t>осуществление иных действий (мероприятий), связанных с проверкой финансово-хозяйственной деятельности Общества.</w:t>
      </w:r>
    </w:p>
    <w:p w:rsidR="00232455" w:rsidRDefault="00232455" w:rsidP="00896817"/>
    <w:p w:rsidR="00AC1152" w:rsidRDefault="00AC1152" w:rsidP="00AC1152">
      <w:bookmarkStart w:id="0" w:name="_GoBack"/>
      <w:bookmarkEnd w:id="0"/>
    </w:p>
    <w:sectPr w:rsidR="00AC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4361"/>
    <w:multiLevelType w:val="hybridMultilevel"/>
    <w:tmpl w:val="48BA85F4"/>
    <w:lvl w:ilvl="0" w:tplc="268642F4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8A86ADF"/>
    <w:multiLevelType w:val="multilevel"/>
    <w:tmpl w:val="7BA60AC0"/>
    <w:lvl w:ilvl="0">
      <w:start w:val="15"/>
      <w:numFmt w:val="decimal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decimal"/>
      <w:lvlText w:val="24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17"/>
    <w:rsid w:val="001575B6"/>
    <w:rsid w:val="00232455"/>
    <w:rsid w:val="004E6B8C"/>
    <w:rsid w:val="0063325D"/>
    <w:rsid w:val="0065673A"/>
    <w:rsid w:val="00896817"/>
    <w:rsid w:val="009F771F"/>
    <w:rsid w:val="00AC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F99A-E057-43B8-96B3-58CFE41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Анна Юрьевна</dc:creator>
  <cp:keywords/>
  <dc:description/>
  <cp:lastModifiedBy>Владимирова Анна Юрьевна</cp:lastModifiedBy>
  <cp:revision>4</cp:revision>
  <dcterms:created xsi:type="dcterms:W3CDTF">2022-10-06T07:10:00Z</dcterms:created>
  <dcterms:modified xsi:type="dcterms:W3CDTF">2022-10-13T12:09:00Z</dcterms:modified>
</cp:coreProperties>
</file>